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1A5FA" w14:textId="4308E304" w:rsidR="009856BA" w:rsidRPr="00E13633" w:rsidRDefault="009856BA" w:rsidP="009856BA">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2D2817" w:rsidRPr="002D2817">
        <w:rPr>
          <w:rFonts w:cs="Arial"/>
          <w:sz w:val="24"/>
          <w:szCs w:val="24"/>
        </w:rPr>
        <w:t>R4-2300286</w:t>
      </w:r>
    </w:p>
    <w:p w14:paraId="2E19305A" w14:textId="77777777" w:rsidR="009856BA" w:rsidRPr="00E13633" w:rsidRDefault="009856BA" w:rsidP="009856BA">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2F1D54C"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856BA">
        <w:rPr>
          <w:rFonts w:ascii="Arial" w:hAnsi="Arial" w:cs="Arial"/>
          <w:b/>
          <w:sz w:val="22"/>
          <w:szCs w:val="22"/>
        </w:rPr>
        <w:t>9</w:t>
      </w:r>
      <w:r w:rsidR="0085538E">
        <w:rPr>
          <w:rFonts w:ascii="Arial" w:hAnsi="Arial" w:cs="Arial"/>
          <w:b/>
          <w:sz w:val="22"/>
          <w:szCs w:val="22"/>
        </w:rPr>
        <w:t>.</w:t>
      </w:r>
      <w:r w:rsidR="0012561B">
        <w:rPr>
          <w:rFonts w:ascii="Arial" w:hAnsi="Arial" w:cs="Arial"/>
          <w:b/>
          <w:sz w:val="22"/>
          <w:szCs w:val="22"/>
        </w:rPr>
        <w:t>30.4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AA2527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2561B" w:rsidRPr="0012561B">
        <w:rPr>
          <w:rFonts w:ascii="Arial" w:hAnsi="Arial" w:cs="Arial"/>
          <w:b/>
          <w:sz w:val="22"/>
          <w:szCs w:val="22"/>
        </w:rPr>
        <w:t>RRM for eRedCap</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6669FFA7" w:rsidR="00A74337" w:rsidRDefault="0012561B" w:rsidP="00B06DCC">
      <w:pPr>
        <w:spacing w:after="120"/>
        <w:jc w:val="both"/>
      </w:pPr>
      <w:r>
        <w:t>From</w:t>
      </w:r>
      <w:r w:rsidR="00A9674C">
        <w:t xml:space="preserve"> </w:t>
      </w:r>
      <w:r>
        <w:rPr>
          <w:rFonts w:hint="eastAsia"/>
        </w:rPr>
        <w:t>this</w:t>
      </w:r>
      <w:r>
        <w:t xml:space="preserve"> RAN4 #106 meeting, the eRedCap will be discussed according to the TU plan in RP-223558, and the latest WID for R18 eRedCap is approved in [1]</w:t>
      </w:r>
      <w:r w:rsidR="00F63A1B">
        <w:t>.</w:t>
      </w:r>
      <w:r>
        <w:t xml:space="preserve"> In this contribution we discuss the impact on RRM for the eRedCap UE.</w:t>
      </w:r>
    </w:p>
    <w:p w14:paraId="7ADE0A8D" w14:textId="1500744A"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9C7526">
        <w:rPr>
          <w:sz w:val="32"/>
        </w:rPr>
        <w:t>on eRedCap RRM</w:t>
      </w:r>
    </w:p>
    <w:p w14:paraId="1A58F8D2" w14:textId="041A512D" w:rsidR="000D52FA" w:rsidRDefault="000D52FA" w:rsidP="000D52FA">
      <w:pPr>
        <w:spacing w:after="180"/>
        <w:rPr>
          <w:lang w:eastAsia="x-none"/>
        </w:rPr>
      </w:pPr>
      <w:r w:rsidRPr="00EB259E">
        <w:rPr>
          <w:rFonts w:hint="eastAsia"/>
          <w:lang w:eastAsia="x-none"/>
        </w:rPr>
        <w:t>The</w:t>
      </w:r>
      <w:r w:rsidRPr="00EB259E">
        <w:rPr>
          <w:lang w:eastAsia="x-none"/>
        </w:rPr>
        <w:t xml:space="preserve"> </w:t>
      </w:r>
      <w:r w:rsidR="009C7526">
        <w:rPr>
          <w:lang w:eastAsia="x-none"/>
        </w:rPr>
        <w:t xml:space="preserve">objectives in the </w:t>
      </w:r>
      <w:proofErr w:type="gramStart"/>
      <w:r w:rsidR="009C7526">
        <w:rPr>
          <w:lang w:eastAsia="x-none"/>
        </w:rPr>
        <w:t>WID[</w:t>
      </w:r>
      <w:proofErr w:type="gramEnd"/>
      <w:r w:rsidR="009C7526">
        <w:rPr>
          <w:lang w:eastAsia="x-none"/>
        </w:rPr>
        <w:t>1] are as followings</w:t>
      </w:r>
      <w:r w:rsidRPr="00EB259E">
        <w:rPr>
          <w:lang w:eastAsia="x-none"/>
        </w:rPr>
        <w:t>:</w:t>
      </w:r>
    </w:p>
    <w:tbl>
      <w:tblPr>
        <w:tblStyle w:val="TableGrid"/>
        <w:tblW w:w="0" w:type="auto"/>
        <w:tblLook w:val="04A0" w:firstRow="1" w:lastRow="0" w:firstColumn="1" w:lastColumn="0" w:noHBand="0" w:noVBand="1"/>
      </w:tblPr>
      <w:tblGrid>
        <w:gridCol w:w="9629"/>
      </w:tblGrid>
      <w:tr w:rsidR="000D52FA" w14:paraId="5D26DB19" w14:textId="77777777" w:rsidTr="00E7499F">
        <w:tc>
          <w:tcPr>
            <w:tcW w:w="9629" w:type="dxa"/>
          </w:tcPr>
          <w:p w14:paraId="2A88FD20" w14:textId="77777777" w:rsidR="009C7526" w:rsidRPr="009C7526" w:rsidRDefault="009C7526" w:rsidP="009C7526">
            <w:pPr>
              <w:spacing w:after="0"/>
              <w:ind w:right="-99"/>
              <w:jc w:val="both"/>
              <w:rPr>
                <w:sz w:val="20"/>
                <w:szCs w:val="20"/>
                <w:lang w:eastAsia="ja-JP"/>
              </w:rPr>
            </w:pPr>
            <w:r w:rsidRPr="009C7526">
              <w:rPr>
                <w:sz w:val="20"/>
                <w:szCs w:val="20"/>
                <w:lang w:eastAsia="ja-JP"/>
              </w:rPr>
              <w:t xml:space="preserve">The objective is to specify support for the following enhancements: </w:t>
            </w:r>
          </w:p>
          <w:p w14:paraId="6463822D" w14:textId="77777777" w:rsidR="009C7526" w:rsidRPr="009C7526" w:rsidRDefault="009C7526" w:rsidP="009C7526">
            <w:pPr>
              <w:spacing w:after="0"/>
              <w:ind w:right="-99"/>
              <w:rPr>
                <w:b/>
                <w:bCs/>
                <w:sz w:val="20"/>
                <w:szCs w:val="20"/>
                <w:lang w:eastAsia="ja-JP"/>
              </w:rPr>
            </w:pPr>
            <w:r w:rsidRPr="009C7526">
              <w:rPr>
                <w:b/>
                <w:bCs/>
                <w:sz w:val="20"/>
                <w:szCs w:val="20"/>
                <w:lang w:eastAsia="ja-JP"/>
              </w:rPr>
              <w:t>Power saving/energy efficiency enhancements</w:t>
            </w:r>
          </w:p>
          <w:p w14:paraId="5885D21C" w14:textId="77777777" w:rsidR="009C7526" w:rsidRPr="009C7526" w:rsidRDefault="009C7526" w:rsidP="009C7526">
            <w:pPr>
              <w:numPr>
                <w:ilvl w:val="0"/>
                <w:numId w:val="38"/>
              </w:numPr>
              <w:overflowPunct w:val="0"/>
              <w:autoSpaceDE w:val="0"/>
              <w:autoSpaceDN w:val="0"/>
              <w:adjustRightInd w:val="0"/>
              <w:spacing w:after="0"/>
              <w:ind w:right="-99"/>
              <w:textAlignment w:val="baseline"/>
              <w:rPr>
                <w:sz w:val="20"/>
                <w:szCs w:val="20"/>
                <w:highlight w:val="yellow"/>
                <w:lang w:eastAsia="ja-JP"/>
              </w:rPr>
            </w:pPr>
            <w:r w:rsidRPr="009C7526">
              <w:rPr>
                <w:sz w:val="20"/>
                <w:szCs w:val="20"/>
                <w:highlight w:val="yellow"/>
                <w:lang w:eastAsia="ja-JP"/>
              </w:rPr>
              <w:t>Enhanced eDRX in RRC_INACTIVE (&gt;10.24s) [RAN2, RAN3, RAN4]</w:t>
            </w:r>
          </w:p>
          <w:p w14:paraId="20DA6D3E" w14:textId="77777777" w:rsidR="009C7526" w:rsidRPr="009C7526" w:rsidRDefault="009C7526" w:rsidP="009C7526">
            <w:pPr>
              <w:numPr>
                <w:ilvl w:val="1"/>
                <w:numId w:val="38"/>
              </w:numPr>
              <w:overflowPunct w:val="0"/>
              <w:autoSpaceDE w:val="0"/>
              <w:autoSpaceDN w:val="0"/>
              <w:adjustRightInd w:val="0"/>
              <w:spacing w:after="0"/>
              <w:ind w:right="-99"/>
              <w:textAlignment w:val="baseline"/>
              <w:rPr>
                <w:sz w:val="20"/>
                <w:szCs w:val="20"/>
                <w:lang w:eastAsia="ja-JP"/>
              </w:rPr>
            </w:pPr>
            <w:r w:rsidRPr="009C7526">
              <w:rPr>
                <w:rFonts w:hint="eastAsia"/>
                <w:sz w:val="20"/>
                <w:szCs w:val="20"/>
                <w:lang w:eastAsia="ja-JP"/>
              </w:rPr>
              <w:t>Note that this objective requires SA2</w:t>
            </w:r>
            <w:r w:rsidRPr="009C7526">
              <w:rPr>
                <w:sz w:val="20"/>
                <w:szCs w:val="20"/>
                <w:lang w:eastAsia="ja-JP"/>
              </w:rPr>
              <w:t xml:space="preserve">, </w:t>
            </w:r>
            <w:r w:rsidRPr="009C7526">
              <w:rPr>
                <w:rFonts w:hint="eastAsia"/>
                <w:sz w:val="20"/>
                <w:szCs w:val="20"/>
                <w:lang w:eastAsia="ja-JP"/>
              </w:rPr>
              <w:t>CT1</w:t>
            </w:r>
            <w:r w:rsidRPr="009C7526">
              <w:rPr>
                <w:sz w:val="20"/>
                <w:szCs w:val="20"/>
                <w:lang w:eastAsia="ja-JP"/>
              </w:rPr>
              <w:t xml:space="preserve"> and CT4 </w:t>
            </w:r>
            <w:r w:rsidRPr="009C7526">
              <w:rPr>
                <w:rFonts w:hint="eastAsia"/>
                <w:sz w:val="20"/>
                <w:szCs w:val="20"/>
                <w:lang w:eastAsia="ja-JP"/>
              </w:rPr>
              <w:t>involvement</w:t>
            </w:r>
          </w:p>
          <w:p w14:paraId="769D9AAB" w14:textId="77777777" w:rsidR="009C7526" w:rsidRPr="009C7526" w:rsidRDefault="009C7526" w:rsidP="009C7526">
            <w:pPr>
              <w:spacing w:after="0"/>
              <w:ind w:right="-99"/>
              <w:rPr>
                <w:b/>
                <w:bCs/>
                <w:sz w:val="20"/>
                <w:szCs w:val="20"/>
                <w:lang w:eastAsia="ja-JP"/>
              </w:rPr>
            </w:pPr>
            <w:r w:rsidRPr="009C7526">
              <w:rPr>
                <w:b/>
                <w:bCs/>
                <w:sz w:val="20"/>
                <w:szCs w:val="20"/>
                <w:lang w:eastAsia="ja-JP"/>
              </w:rPr>
              <w:t>Complexity/cost reduction</w:t>
            </w:r>
          </w:p>
          <w:p w14:paraId="17438656" w14:textId="77777777" w:rsidR="009C7526" w:rsidRPr="00893F0E" w:rsidRDefault="009C7526" w:rsidP="009C7526">
            <w:pPr>
              <w:numPr>
                <w:ilvl w:val="0"/>
                <w:numId w:val="39"/>
              </w:numPr>
              <w:overflowPunct w:val="0"/>
              <w:autoSpaceDE w:val="0"/>
              <w:autoSpaceDN w:val="0"/>
              <w:adjustRightInd w:val="0"/>
              <w:spacing w:after="0"/>
              <w:ind w:right="-99"/>
              <w:textAlignment w:val="baseline"/>
              <w:rPr>
                <w:sz w:val="20"/>
                <w:szCs w:val="20"/>
                <w:highlight w:val="yellow"/>
                <w:lang w:eastAsia="ja-JP"/>
              </w:rPr>
            </w:pPr>
            <w:r w:rsidRPr="00893F0E">
              <w:rPr>
                <w:sz w:val="20"/>
                <w:szCs w:val="20"/>
                <w:highlight w:val="yellow"/>
                <w:lang w:eastAsia="ja-JP"/>
              </w:rPr>
              <w:t>Further reduced UE complexity in FR1 [RAN1, RAN2, RAN4]</w:t>
            </w:r>
          </w:p>
          <w:p w14:paraId="14856098" w14:textId="77777777" w:rsidR="009C7526" w:rsidRPr="00893F0E" w:rsidRDefault="009C7526" w:rsidP="009C7526">
            <w:pPr>
              <w:pStyle w:val="B2"/>
              <w:numPr>
                <w:ilvl w:val="1"/>
                <w:numId w:val="38"/>
              </w:numPr>
              <w:overflowPunct w:val="0"/>
              <w:autoSpaceDE w:val="0"/>
              <w:autoSpaceDN w:val="0"/>
              <w:adjustRightInd w:val="0"/>
              <w:spacing w:after="0"/>
              <w:textAlignment w:val="baseline"/>
              <w:rPr>
                <w:sz w:val="20"/>
                <w:szCs w:val="20"/>
                <w:highlight w:val="yellow"/>
              </w:rPr>
            </w:pPr>
            <w:r w:rsidRPr="00893F0E">
              <w:rPr>
                <w:sz w:val="20"/>
                <w:szCs w:val="20"/>
                <w:highlight w:val="yellow"/>
              </w:rPr>
              <w:t>UE BB bandwidth reduction</w:t>
            </w:r>
          </w:p>
          <w:p w14:paraId="5BD76868" w14:textId="77777777" w:rsidR="009C7526" w:rsidRPr="00893F0E" w:rsidRDefault="009C7526" w:rsidP="009C7526">
            <w:pPr>
              <w:pStyle w:val="B2"/>
              <w:numPr>
                <w:ilvl w:val="2"/>
                <w:numId w:val="38"/>
              </w:numPr>
              <w:overflowPunct w:val="0"/>
              <w:autoSpaceDE w:val="0"/>
              <w:autoSpaceDN w:val="0"/>
              <w:adjustRightInd w:val="0"/>
              <w:spacing w:after="0"/>
              <w:textAlignment w:val="baseline"/>
              <w:rPr>
                <w:sz w:val="20"/>
                <w:szCs w:val="20"/>
                <w:highlight w:val="yellow"/>
              </w:rPr>
            </w:pPr>
            <w:r w:rsidRPr="00893F0E">
              <w:rPr>
                <w:sz w:val="20"/>
                <w:szCs w:val="20"/>
                <w:highlight w:val="yellow"/>
              </w:rPr>
              <w:t>5 MHz BB bandwidth only for PDSCH (for both unicast and broadcast) and PUSCH, with 20 MHz RF bandwidth for UL and DL</w:t>
            </w:r>
          </w:p>
          <w:p w14:paraId="71CD38AB" w14:textId="77777777" w:rsidR="009C7526" w:rsidRPr="00893F0E" w:rsidRDefault="009C7526" w:rsidP="009C7526">
            <w:pPr>
              <w:pStyle w:val="B2"/>
              <w:numPr>
                <w:ilvl w:val="2"/>
                <w:numId w:val="38"/>
              </w:numPr>
              <w:overflowPunct w:val="0"/>
              <w:autoSpaceDE w:val="0"/>
              <w:autoSpaceDN w:val="0"/>
              <w:adjustRightInd w:val="0"/>
              <w:spacing w:after="0"/>
              <w:textAlignment w:val="baseline"/>
              <w:rPr>
                <w:sz w:val="20"/>
                <w:szCs w:val="20"/>
                <w:highlight w:val="yellow"/>
              </w:rPr>
            </w:pPr>
            <w:r w:rsidRPr="00893F0E">
              <w:rPr>
                <w:sz w:val="20"/>
                <w:szCs w:val="20"/>
                <w:highlight w:val="yellow"/>
              </w:rPr>
              <w:t>The other physical channels and signals are still allowed to use a BWP up to the 20 MHz maximum UE RF+BB bandwidth.</w:t>
            </w:r>
          </w:p>
          <w:p w14:paraId="6903DE9F" w14:textId="77777777" w:rsidR="009C7526" w:rsidRPr="009C7526" w:rsidRDefault="009C7526" w:rsidP="009C7526">
            <w:pPr>
              <w:numPr>
                <w:ilvl w:val="2"/>
                <w:numId w:val="38"/>
              </w:numPr>
              <w:overflowPunct w:val="0"/>
              <w:autoSpaceDE w:val="0"/>
              <w:autoSpaceDN w:val="0"/>
              <w:adjustRightInd w:val="0"/>
              <w:spacing w:after="0"/>
              <w:ind w:right="-99"/>
              <w:textAlignment w:val="baseline"/>
              <w:rPr>
                <w:sz w:val="20"/>
                <w:szCs w:val="20"/>
                <w:lang w:eastAsia="ja-JP"/>
              </w:rPr>
            </w:pPr>
            <w:r w:rsidRPr="009C7526">
              <w:rPr>
                <w:sz w:val="20"/>
                <w:szCs w:val="20"/>
                <w:lang w:eastAsia="ja-JP"/>
              </w:rPr>
              <w:t>Support additional separate early indication(s) [RAN1, RAN2]</w:t>
            </w:r>
          </w:p>
          <w:p w14:paraId="5480662F" w14:textId="77777777" w:rsidR="009C7526" w:rsidRPr="009C7526" w:rsidRDefault="009C7526" w:rsidP="009C7526">
            <w:pPr>
              <w:numPr>
                <w:ilvl w:val="1"/>
                <w:numId w:val="38"/>
              </w:numPr>
              <w:overflowPunct w:val="0"/>
              <w:autoSpaceDE w:val="0"/>
              <w:autoSpaceDN w:val="0"/>
              <w:adjustRightInd w:val="0"/>
              <w:spacing w:after="0"/>
              <w:ind w:right="-99"/>
              <w:textAlignment w:val="baseline"/>
              <w:rPr>
                <w:sz w:val="20"/>
                <w:szCs w:val="20"/>
                <w:lang w:eastAsia="ja-JP"/>
              </w:rPr>
            </w:pPr>
            <w:r w:rsidRPr="009C7526">
              <w:rPr>
                <w:sz w:val="20"/>
                <w:szCs w:val="20"/>
                <w:lang w:eastAsia="ja-JP"/>
              </w:rPr>
              <w:t>UE peak data rate reduction</w:t>
            </w:r>
          </w:p>
          <w:p w14:paraId="5CDCEC8B" w14:textId="77777777" w:rsidR="009C7526" w:rsidRPr="009C7526" w:rsidRDefault="009C7526" w:rsidP="009C7526">
            <w:pPr>
              <w:pStyle w:val="B2"/>
              <w:numPr>
                <w:ilvl w:val="2"/>
                <w:numId w:val="38"/>
              </w:numPr>
              <w:overflowPunct w:val="0"/>
              <w:autoSpaceDE w:val="0"/>
              <w:autoSpaceDN w:val="0"/>
              <w:adjustRightInd w:val="0"/>
              <w:spacing w:after="0"/>
              <w:textAlignment w:val="baseline"/>
              <w:rPr>
                <w:sz w:val="20"/>
                <w:szCs w:val="20"/>
              </w:rPr>
            </w:pPr>
            <w:r w:rsidRPr="009C7526">
              <w:rPr>
                <w:sz w:val="20"/>
                <w:szCs w:val="20"/>
              </w:rPr>
              <w:t>Relaxation of the constraint (</w:t>
            </w:r>
            <w:r w:rsidRPr="009C7526">
              <w:rPr>
                <w:i/>
                <w:iCs/>
                <w:sz w:val="20"/>
                <w:szCs w:val="20"/>
              </w:rPr>
              <w:t>v</w:t>
            </w:r>
            <w:r w:rsidRPr="009C7526">
              <w:rPr>
                <w:i/>
                <w:iCs/>
                <w:sz w:val="20"/>
                <w:szCs w:val="20"/>
                <w:vertAlign w:val="subscript"/>
              </w:rPr>
              <w:t>Layers</w:t>
            </w:r>
            <w:r w:rsidRPr="009C7526">
              <w:rPr>
                <w:sz w:val="20"/>
                <w:szCs w:val="20"/>
              </w:rPr>
              <w:t>·</w:t>
            </w:r>
            <w:r w:rsidRPr="009C7526">
              <w:rPr>
                <w:i/>
                <w:iCs/>
                <w:sz w:val="20"/>
                <w:szCs w:val="20"/>
              </w:rPr>
              <w:t>Q</w:t>
            </w:r>
            <w:r w:rsidRPr="009C7526">
              <w:rPr>
                <w:i/>
                <w:iCs/>
                <w:sz w:val="20"/>
                <w:szCs w:val="20"/>
                <w:vertAlign w:val="subscript"/>
              </w:rPr>
              <w:t>m</w:t>
            </w:r>
            <w:r w:rsidRPr="009C7526">
              <w:rPr>
                <w:sz w:val="20"/>
                <w:szCs w:val="20"/>
              </w:rPr>
              <w:t>·</w:t>
            </w:r>
            <w:r w:rsidRPr="009C7526">
              <w:rPr>
                <w:i/>
                <w:iCs/>
                <w:sz w:val="20"/>
                <w:szCs w:val="20"/>
              </w:rPr>
              <w:t>f</w:t>
            </w:r>
            <w:r w:rsidRPr="009C7526">
              <w:rPr>
                <w:sz w:val="20"/>
                <w:szCs w:val="20"/>
              </w:rPr>
              <w:t xml:space="preserve"> ≥ 4) for peak data rate reduction</w:t>
            </w:r>
          </w:p>
          <w:p w14:paraId="226B77AD" w14:textId="77777777" w:rsidR="009C7526" w:rsidRPr="009C7526" w:rsidRDefault="009C7526" w:rsidP="009C7526">
            <w:pPr>
              <w:pStyle w:val="B2"/>
              <w:numPr>
                <w:ilvl w:val="2"/>
                <w:numId w:val="38"/>
              </w:numPr>
              <w:overflowPunct w:val="0"/>
              <w:autoSpaceDE w:val="0"/>
              <w:autoSpaceDN w:val="0"/>
              <w:adjustRightInd w:val="0"/>
              <w:spacing w:after="0"/>
              <w:textAlignment w:val="baseline"/>
              <w:rPr>
                <w:sz w:val="20"/>
                <w:szCs w:val="20"/>
              </w:rPr>
            </w:pPr>
            <w:r w:rsidRPr="009C7526">
              <w:rPr>
                <w:sz w:val="20"/>
                <w:szCs w:val="20"/>
              </w:rPr>
              <w:t>The relaxed constraint is, e.g., 1 (instead of 4).</w:t>
            </w:r>
          </w:p>
          <w:p w14:paraId="0FDADFE6" w14:textId="77777777" w:rsidR="009C7526" w:rsidRPr="009C7526" w:rsidRDefault="009C7526" w:rsidP="009C7526">
            <w:pPr>
              <w:pStyle w:val="B2"/>
              <w:numPr>
                <w:ilvl w:val="2"/>
                <w:numId w:val="38"/>
              </w:numPr>
              <w:overflowPunct w:val="0"/>
              <w:autoSpaceDE w:val="0"/>
              <w:autoSpaceDN w:val="0"/>
              <w:adjustRightInd w:val="0"/>
              <w:spacing w:after="0"/>
              <w:textAlignment w:val="baseline"/>
              <w:rPr>
                <w:sz w:val="20"/>
                <w:szCs w:val="20"/>
              </w:rPr>
            </w:pPr>
            <w:r w:rsidRPr="009C7526">
              <w:rPr>
                <w:sz w:val="20"/>
                <w:szCs w:val="20"/>
              </w:rPr>
              <w:t>The parameters (</w:t>
            </w:r>
            <w:r w:rsidRPr="009C7526">
              <w:rPr>
                <w:i/>
                <w:iCs/>
                <w:sz w:val="20"/>
                <w:szCs w:val="20"/>
              </w:rPr>
              <w:t>v</w:t>
            </w:r>
            <w:r w:rsidRPr="009C7526">
              <w:rPr>
                <w:i/>
                <w:iCs/>
                <w:sz w:val="20"/>
                <w:szCs w:val="20"/>
                <w:vertAlign w:val="subscript"/>
              </w:rPr>
              <w:t>Layers</w:t>
            </w:r>
            <w:r w:rsidRPr="009C7526">
              <w:rPr>
                <w:sz w:val="20"/>
                <w:szCs w:val="20"/>
              </w:rPr>
              <w:t xml:space="preserve">, </w:t>
            </w:r>
            <w:r w:rsidRPr="009C7526">
              <w:rPr>
                <w:i/>
                <w:iCs/>
                <w:sz w:val="20"/>
                <w:szCs w:val="20"/>
              </w:rPr>
              <w:t>Q</w:t>
            </w:r>
            <w:r w:rsidRPr="009C7526">
              <w:rPr>
                <w:i/>
                <w:iCs/>
                <w:sz w:val="20"/>
                <w:szCs w:val="20"/>
                <w:vertAlign w:val="subscript"/>
              </w:rPr>
              <w:t>m</w:t>
            </w:r>
            <w:r w:rsidRPr="009C7526">
              <w:rPr>
                <w:sz w:val="20"/>
                <w:szCs w:val="20"/>
              </w:rPr>
              <w:t xml:space="preserve">, </w:t>
            </w:r>
            <w:r w:rsidRPr="009C7526">
              <w:rPr>
                <w:i/>
                <w:iCs/>
                <w:sz w:val="20"/>
                <w:szCs w:val="20"/>
              </w:rPr>
              <w:t>f</w:t>
            </w:r>
            <w:r w:rsidRPr="009C7526">
              <w:rPr>
                <w:sz w:val="20"/>
                <w:szCs w:val="20"/>
              </w:rPr>
              <w:t>) can be as in Rel-17 RedCap.</w:t>
            </w:r>
          </w:p>
          <w:p w14:paraId="5ACC28EF" w14:textId="77777777" w:rsidR="009C7526" w:rsidRPr="009C7526" w:rsidRDefault="009C7526" w:rsidP="009C7526">
            <w:pPr>
              <w:pStyle w:val="B1"/>
              <w:numPr>
                <w:ilvl w:val="1"/>
                <w:numId w:val="38"/>
              </w:numPr>
              <w:overflowPunct w:val="0"/>
              <w:autoSpaceDE w:val="0"/>
              <w:autoSpaceDN w:val="0"/>
              <w:adjustRightInd w:val="0"/>
              <w:spacing w:after="0"/>
              <w:textAlignment w:val="baseline"/>
              <w:rPr>
                <w:sz w:val="20"/>
                <w:szCs w:val="20"/>
                <w:lang w:eastAsia="ja-JP"/>
              </w:rPr>
            </w:pPr>
            <w:r w:rsidRPr="009C7526">
              <w:rPr>
                <w:sz w:val="20"/>
                <w:szCs w:val="20"/>
                <w:lang w:eastAsia="ja-JP"/>
              </w:rPr>
              <w:t>Both 15 kHz SCS and 30 kHz SCS are supported.</w:t>
            </w:r>
          </w:p>
          <w:p w14:paraId="654B435F" w14:textId="77777777" w:rsidR="009C7526" w:rsidRPr="009C7526" w:rsidRDefault="009C7526" w:rsidP="009C7526">
            <w:pPr>
              <w:pStyle w:val="B1"/>
              <w:numPr>
                <w:ilvl w:val="1"/>
                <w:numId w:val="38"/>
              </w:numPr>
              <w:overflowPunct w:val="0"/>
              <w:autoSpaceDE w:val="0"/>
              <w:autoSpaceDN w:val="0"/>
              <w:adjustRightInd w:val="0"/>
              <w:spacing w:after="0"/>
              <w:textAlignment w:val="baseline"/>
              <w:rPr>
                <w:sz w:val="20"/>
                <w:szCs w:val="20"/>
                <w:lang w:eastAsia="ja-JP"/>
              </w:rPr>
            </w:pPr>
            <w:r w:rsidRPr="009C7526">
              <w:rPr>
                <w:sz w:val="20"/>
                <w:szCs w:val="20"/>
                <w:lang w:eastAsia="ja-JP"/>
              </w:rPr>
              <w:t>Aim to define at most one Rel-18 RedCap UE type for further UE complexity reduction.</w:t>
            </w:r>
          </w:p>
          <w:p w14:paraId="13647898" w14:textId="77777777" w:rsidR="009C7526" w:rsidRPr="009C7526" w:rsidRDefault="009C7526" w:rsidP="009C7526">
            <w:pPr>
              <w:numPr>
                <w:ilvl w:val="1"/>
                <w:numId w:val="38"/>
              </w:numPr>
              <w:overflowPunct w:val="0"/>
              <w:autoSpaceDE w:val="0"/>
              <w:autoSpaceDN w:val="0"/>
              <w:adjustRightInd w:val="0"/>
              <w:spacing w:after="0"/>
              <w:ind w:right="-99"/>
              <w:textAlignment w:val="baseline"/>
              <w:rPr>
                <w:sz w:val="20"/>
                <w:szCs w:val="20"/>
                <w:lang w:eastAsia="ja-JP"/>
              </w:rPr>
            </w:pPr>
            <w:r w:rsidRPr="009C7526">
              <w:rPr>
                <w:sz w:val="20"/>
                <w:szCs w:val="20"/>
                <w:lang w:eastAsia="ja-JP"/>
              </w:rPr>
              <w:t>The existing UE capability framework is used, and changes to capability signalling are specified only if necessary. By default, all UE capabilities applicable to a Rel-17 RedCap UE are applicable unless otherwise specified.</w:t>
            </w:r>
          </w:p>
          <w:p w14:paraId="107313F9" w14:textId="77777777" w:rsidR="009C7526" w:rsidRPr="009C7526" w:rsidRDefault="009C7526" w:rsidP="009C7526">
            <w:pPr>
              <w:pStyle w:val="B2"/>
              <w:spacing w:after="0"/>
              <w:ind w:left="0" w:firstLine="0"/>
              <w:rPr>
                <w:sz w:val="20"/>
                <w:szCs w:val="20"/>
                <w:lang w:eastAsia="ja-JP"/>
              </w:rPr>
            </w:pPr>
            <w:r w:rsidRPr="009C7526">
              <w:rPr>
                <w:sz w:val="20"/>
                <w:szCs w:val="20"/>
                <w:lang w:eastAsia="ja-JP"/>
              </w:rPr>
              <w:t>Notes:</w:t>
            </w:r>
          </w:p>
          <w:p w14:paraId="29D1E624" w14:textId="77777777" w:rsidR="009C7526" w:rsidRPr="009C7526" w:rsidRDefault="009C7526" w:rsidP="009C7526">
            <w:pPr>
              <w:pStyle w:val="B1"/>
              <w:numPr>
                <w:ilvl w:val="0"/>
                <w:numId w:val="37"/>
              </w:numPr>
              <w:overflowPunct w:val="0"/>
              <w:autoSpaceDE w:val="0"/>
              <w:autoSpaceDN w:val="0"/>
              <w:adjustRightInd w:val="0"/>
              <w:spacing w:after="0"/>
              <w:textAlignment w:val="baseline"/>
              <w:rPr>
                <w:sz w:val="20"/>
                <w:szCs w:val="20"/>
                <w:lang w:eastAsia="ja-JP"/>
              </w:rPr>
            </w:pPr>
            <w:r w:rsidRPr="009C7526">
              <w:rPr>
                <w:sz w:val="20"/>
                <w:szCs w:val="20"/>
                <w:lang w:eastAsia="ja-JP"/>
              </w:rPr>
              <w:t>The work defined as part of this WI is not to overlap with LPWA use cases.</w:t>
            </w:r>
          </w:p>
          <w:p w14:paraId="7476ACC5" w14:textId="77777777" w:rsidR="009C7526" w:rsidRPr="009C7526" w:rsidRDefault="009C7526" w:rsidP="009C7526">
            <w:pPr>
              <w:pStyle w:val="B1"/>
              <w:numPr>
                <w:ilvl w:val="0"/>
                <w:numId w:val="37"/>
              </w:numPr>
              <w:overflowPunct w:val="0"/>
              <w:autoSpaceDE w:val="0"/>
              <w:autoSpaceDN w:val="0"/>
              <w:adjustRightInd w:val="0"/>
              <w:spacing w:after="0"/>
              <w:textAlignment w:val="baseline"/>
              <w:rPr>
                <w:sz w:val="20"/>
                <w:szCs w:val="20"/>
                <w:lang w:eastAsia="ja-JP"/>
              </w:rPr>
            </w:pPr>
            <w:r w:rsidRPr="009C7526">
              <w:rPr>
                <w:sz w:val="20"/>
                <w:szCs w:val="20"/>
                <w:lang w:eastAsia="ja-JP"/>
              </w:rPr>
              <w:t>Coexistence with non-RedCap UEs and Rel-17 RedCap UEs should be ensured.</w:t>
            </w:r>
          </w:p>
          <w:p w14:paraId="07CEFC87" w14:textId="77777777" w:rsidR="009C7526" w:rsidRPr="009C7526" w:rsidRDefault="009C7526" w:rsidP="009C7526">
            <w:pPr>
              <w:pStyle w:val="B1"/>
              <w:numPr>
                <w:ilvl w:val="0"/>
                <w:numId w:val="37"/>
              </w:numPr>
              <w:overflowPunct w:val="0"/>
              <w:autoSpaceDE w:val="0"/>
              <w:autoSpaceDN w:val="0"/>
              <w:adjustRightInd w:val="0"/>
              <w:spacing w:after="0"/>
              <w:textAlignment w:val="baseline"/>
              <w:rPr>
                <w:sz w:val="20"/>
                <w:szCs w:val="20"/>
                <w:lang w:eastAsia="ja-JP"/>
              </w:rPr>
            </w:pPr>
            <w:r w:rsidRPr="009C7526">
              <w:rPr>
                <w:sz w:val="20"/>
                <w:szCs w:val="20"/>
                <w:lang w:eastAsia="ja-JP"/>
              </w:rPr>
              <w:t>This WI considers all applicable duplex modes unless otherwise specified.</w:t>
            </w:r>
          </w:p>
          <w:p w14:paraId="2ABA7D5E" w14:textId="77777777" w:rsidR="009C7526" w:rsidRPr="009C7526" w:rsidRDefault="009C7526" w:rsidP="009C7526">
            <w:pPr>
              <w:pStyle w:val="B1"/>
              <w:spacing w:after="0"/>
              <w:ind w:left="0" w:firstLine="0"/>
              <w:rPr>
                <w:sz w:val="20"/>
                <w:szCs w:val="20"/>
                <w:lang w:eastAsia="ja-JP"/>
              </w:rPr>
            </w:pPr>
            <w:r w:rsidRPr="009C7526">
              <w:rPr>
                <w:sz w:val="20"/>
                <w:szCs w:val="20"/>
                <w:lang w:eastAsia="ja-JP"/>
              </w:rPr>
              <w:t>Check in RAN#99 regarding:</w:t>
            </w:r>
          </w:p>
          <w:p w14:paraId="5998FCCB" w14:textId="1B419BC6" w:rsidR="000D52FA" w:rsidRPr="009856BA" w:rsidRDefault="009C7526" w:rsidP="009C7526">
            <w:pPr>
              <w:pStyle w:val="B1"/>
              <w:numPr>
                <w:ilvl w:val="0"/>
                <w:numId w:val="39"/>
              </w:numPr>
              <w:overflowPunct w:val="0"/>
              <w:autoSpaceDE w:val="0"/>
              <w:autoSpaceDN w:val="0"/>
              <w:adjustRightInd w:val="0"/>
              <w:spacing w:after="0"/>
              <w:textAlignment w:val="baseline"/>
              <w:rPr>
                <w:lang w:eastAsia="ja-JP"/>
              </w:rPr>
            </w:pPr>
            <w:r w:rsidRPr="009C7526">
              <w:rPr>
                <w:sz w:val="20"/>
                <w:szCs w:val="20"/>
                <w:lang w:eastAsia="ja-JP"/>
              </w:rPr>
              <w:t>Whether UE peak data rate reduction for UE is limited only with UE BB bandwidth reduction or standalone</w:t>
            </w:r>
          </w:p>
        </w:tc>
      </w:tr>
    </w:tbl>
    <w:p w14:paraId="74CADB19" w14:textId="77777777" w:rsidR="000D52FA" w:rsidRDefault="000D52FA" w:rsidP="000D52FA">
      <w:pPr>
        <w:jc w:val="both"/>
        <w:rPr>
          <w:b/>
          <w:bCs/>
          <w:i/>
          <w:iCs/>
          <w:lang w:eastAsia="ko-KR"/>
        </w:rPr>
      </w:pPr>
    </w:p>
    <w:p w14:paraId="1317DEDF" w14:textId="389B8BAD" w:rsidR="00E452A6" w:rsidRDefault="009C7526" w:rsidP="00893F0E">
      <w:pPr>
        <w:spacing w:after="180"/>
        <w:jc w:val="both"/>
        <w:rPr>
          <w:lang w:val="en-GB" w:eastAsia="x-none"/>
        </w:rPr>
      </w:pPr>
      <w:r>
        <w:rPr>
          <w:lang w:val="en-GB" w:eastAsia="x-none"/>
        </w:rPr>
        <w:t>Regarding “</w:t>
      </w:r>
      <w:r w:rsidRPr="009C7526">
        <w:rPr>
          <w:lang w:val="en-GB" w:eastAsia="x-none"/>
        </w:rPr>
        <w:t>Power saving/energy efficiency enhancements</w:t>
      </w:r>
      <w:r>
        <w:rPr>
          <w:lang w:val="en-GB" w:eastAsia="x-none"/>
        </w:rPr>
        <w:t xml:space="preserve">”, the enhanced eDRX for </w:t>
      </w:r>
      <w:r w:rsidR="00893F0E" w:rsidRPr="00893F0E">
        <w:rPr>
          <w:lang w:val="en-GB" w:eastAsia="x-none"/>
        </w:rPr>
        <w:t xml:space="preserve">RRC_INACTIVE </w:t>
      </w:r>
      <w:r>
        <w:rPr>
          <w:lang w:val="en-GB" w:eastAsia="x-none"/>
        </w:rPr>
        <w:t>mode in FR1 is considered, and the eDRX cycle can be greater than 10.24</w:t>
      </w:r>
      <w:r w:rsidR="00893F0E">
        <w:rPr>
          <w:lang w:val="en-GB" w:eastAsia="x-none"/>
        </w:rPr>
        <w:t xml:space="preserve">s. In Rel-17 RedCap, the eDRX cycle is up to 10.24s and therefore </w:t>
      </w:r>
      <w:r w:rsidR="00893F0E" w:rsidRPr="00893F0E">
        <w:rPr>
          <w:lang w:val="en-GB" w:eastAsia="x-none"/>
        </w:rPr>
        <w:t>eDRX in RRC_INACTIVE state does not have PTW</w:t>
      </w:r>
      <w:r w:rsidR="00893F0E">
        <w:rPr>
          <w:lang w:val="en-GB" w:eastAsia="x-none"/>
        </w:rPr>
        <w:t>.</w:t>
      </w:r>
      <w:r w:rsidR="00893F0E">
        <w:rPr>
          <w:rFonts w:hint="eastAsia"/>
          <w:lang w:val="en-GB"/>
        </w:rPr>
        <w:t xml:space="preserve"> </w:t>
      </w:r>
      <w:r w:rsidR="00893F0E">
        <w:rPr>
          <w:lang w:val="en-GB"/>
        </w:rPr>
        <w:t>After introducing enhanced eDRX</w:t>
      </w:r>
      <w:r w:rsidR="00893F0E">
        <w:rPr>
          <w:lang w:val="en-GB" w:eastAsia="x-none"/>
        </w:rPr>
        <w:t xml:space="preserve">, the RRM requirements with PTW shall be specified for </w:t>
      </w:r>
      <w:r w:rsidR="00893F0E" w:rsidRPr="00893F0E">
        <w:rPr>
          <w:lang w:val="en-GB" w:eastAsia="x-none"/>
        </w:rPr>
        <w:t>RRC_INACTIVE</w:t>
      </w:r>
      <w:r w:rsidR="00893F0E">
        <w:rPr>
          <w:lang w:val="en-GB" w:eastAsia="x-none"/>
        </w:rPr>
        <w:t xml:space="preserve"> state.</w:t>
      </w:r>
      <w:r w:rsidR="000D6961">
        <w:rPr>
          <w:lang w:val="en-GB" w:eastAsia="x-none"/>
        </w:rPr>
        <w:t xml:space="preserve"> </w:t>
      </w:r>
    </w:p>
    <w:p w14:paraId="7255F0CD" w14:textId="51CB8E73" w:rsidR="000D6961" w:rsidRDefault="000D6961" w:rsidP="00893F0E">
      <w:pPr>
        <w:spacing w:after="180"/>
        <w:jc w:val="both"/>
        <w:rPr>
          <w:iCs/>
          <w:color w:val="000000" w:themeColor="text1"/>
        </w:rPr>
      </w:pPr>
      <w:r>
        <w:lastRenderedPageBreak/>
        <w:t xml:space="preserve">In current Rel-17 TS38.133, the RRM requirements for RedCap UE with PTW in RRC_IDLE state, and we think this IDLE requirement can be used as baseline to design the eRedCap UE with PTW in RRC_INACTIVE state, e.g., the principle of lower bound of </w:t>
      </w:r>
      <w:r w:rsidRPr="0082197E">
        <w:rPr>
          <w:iCs/>
          <w:color w:val="000000" w:themeColor="text1"/>
        </w:rPr>
        <w:t>PTW length</w:t>
      </w:r>
      <w:r>
        <w:rPr>
          <w:iCs/>
          <w:color w:val="000000" w:themeColor="text1"/>
        </w:rPr>
        <w:t xml:space="preserve"> in requirement can be reused. Regarding the serving cell measurement requirement in Rel-17 RedCap, there is one difference between IDLE and INACTIVE states that the “</w:t>
      </w:r>
      <w:r w:rsidRPr="00C972E7">
        <w:t>T</w:t>
      </w:r>
      <w:r w:rsidRPr="000D6961">
        <w:t xml:space="preserve"> </w:t>
      </w:r>
      <w:r w:rsidRPr="00C972E7">
        <w:t>according to clause 7.1 in</w:t>
      </w:r>
      <w:r>
        <w:t xml:space="preserve"> TS38.304</w:t>
      </w:r>
      <w:r>
        <w:rPr>
          <w:iCs/>
          <w:color w:val="000000" w:themeColor="text1"/>
        </w:rPr>
        <w:t>” was only used for INACTIVE requirement</w:t>
      </w:r>
      <w:r w:rsidR="00224A30">
        <w:rPr>
          <w:iCs/>
          <w:color w:val="000000" w:themeColor="text1"/>
        </w:rPr>
        <w:t>, as shown below</w:t>
      </w:r>
      <w:r>
        <w:rPr>
          <w:iCs/>
          <w:color w:val="000000" w:themeColor="text1"/>
        </w:rPr>
        <w:t>.</w:t>
      </w:r>
      <w:r w:rsidR="00224A30">
        <w:rPr>
          <w:iCs/>
          <w:color w:val="000000" w:themeColor="text1"/>
        </w:rPr>
        <w:t xml:space="preserve"> However, eDRX cycle and PTW size shall be firstly determined by RAN2/CT/SA before RAN4 can run into the requirement design. </w:t>
      </w:r>
    </w:p>
    <w:tbl>
      <w:tblPr>
        <w:tblStyle w:val="TableGrid"/>
        <w:tblW w:w="0" w:type="auto"/>
        <w:tblLook w:val="04A0" w:firstRow="1" w:lastRow="0" w:firstColumn="1" w:lastColumn="0" w:noHBand="0" w:noVBand="1"/>
      </w:tblPr>
      <w:tblGrid>
        <w:gridCol w:w="9629"/>
      </w:tblGrid>
      <w:tr w:rsidR="000D6961" w14:paraId="13489F6C" w14:textId="77777777" w:rsidTr="000D6961">
        <w:tc>
          <w:tcPr>
            <w:tcW w:w="9629" w:type="dxa"/>
          </w:tcPr>
          <w:p w14:paraId="3B505138" w14:textId="6A0A4F54" w:rsidR="000D6961" w:rsidRDefault="00224A30" w:rsidP="00893F0E">
            <w:pPr>
              <w:jc w:val="both"/>
              <w:rPr>
                <w:iCs/>
                <w:color w:val="000000" w:themeColor="text1"/>
              </w:rPr>
            </w:pPr>
            <w:r>
              <w:rPr>
                <w:iCs/>
                <w:noProof/>
                <w:color w:val="000000" w:themeColor="text1"/>
              </w:rPr>
              <mc:AlternateContent>
                <mc:Choice Requires="wps">
                  <w:drawing>
                    <wp:anchor distT="0" distB="0" distL="114300" distR="114300" simplePos="0" relativeHeight="251659264" behindDoc="0" locked="0" layoutInCell="1" allowOverlap="1" wp14:anchorId="289239FC" wp14:editId="7E440EB8">
                      <wp:simplePos x="0" y="0"/>
                      <wp:positionH relativeFrom="column">
                        <wp:posOffset>798416</wp:posOffset>
                      </wp:positionH>
                      <wp:positionV relativeFrom="paragraph">
                        <wp:posOffset>1759889</wp:posOffset>
                      </wp:positionV>
                      <wp:extent cx="3236181" cy="262393"/>
                      <wp:effectExtent l="0" t="0" r="15240" b="17145"/>
                      <wp:wrapNone/>
                      <wp:docPr id="6" name="Oval 6"/>
                      <wp:cNvGraphicFramePr/>
                      <a:graphic xmlns:a="http://schemas.openxmlformats.org/drawingml/2006/main">
                        <a:graphicData uri="http://schemas.microsoft.com/office/word/2010/wordprocessingShape">
                          <wps:wsp>
                            <wps:cNvSpPr/>
                            <wps:spPr>
                              <a:xfrm>
                                <a:off x="0" y="0"/>
                                <a:ext cx="3236181" cy="262393"/>
                              </a:xfrm>
                              <a:prstGeom prst="ellipse">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FA107C8" id="Oval 6" o:spid="_x0000_s1026" style="position:absolute;margin-left:62.85pt;margin-top:138.55pt;width:254.8pt;height:2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" filled="f" strokecolor="red" strokeweight="1pt">
                      <v:stroke dashstyle="3 1" joinstyle="miter"/>
                    </v:oval>
                  </w:pict>
                </mc:Fallback>
              </mc:AlternateContent>
            </w:r>
            <w:r>
              <w:rPr>
                <w:iCs/>
                <w:noProof/>
                <w:color w:val="000000" w:themeColor="text1"/>
              </w:rPr>
              <w:drawing>
                <wp:inline distT="0" distB="0" distL="0" distR="0" wp14:anchorId="70C379C8" wp14:editId="76E0F0F3">
                  <wp:extent cx="6120765" cy="2331085"/>
                  <wp:effectExtent l="0" t="0" r="635" b="571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331085"/>
                          </a:xfrm>
                          <a:prstGeom prst="rect">
                            <a:avLst/>
                          </a:prstGeom>
                        </pic:spPr>
                      </pic:pic>
                    </a:graphicData>
                  </a:graphic>
                </wp:inline>
              </w:drawing>
            </w:r>
          </w:p>
        </w:tc>
      </w:tr>
    </w:tbl>
    <w:p w14:paraId="049CBAA2" w14:textId="0FE759F9" w:rsidR="00224A30" w:rsidRDefault="000D6961" w:rsidP="00893F0E">
      <w:pPr>
        <w:spacing w:after="180"/>
        <w:jc w:val="both"/>
        <w:rPr>
          <w:iCs/>
          <w:color w:val="000000" w:themeColor="text1"/>
        </w:rPr>
      </w:pPr>
      <w:r>
        <w:rPr>
          <w:iCs/>
          <w:color w:val="000000" w:themeColor="text1"/>
        </w:rPr>
        <w:t xml:space="preserve"> </w:t>
      </w:r>
    </w:p>
    <w:p w14:paraId="39736C31" w14:textId="7224CF2D" w:rsidR="00224A30" w:rsidRDefault="00224A30" w:rsidP="00893F0E">
      <w:pPr>
        <w:spacing w:after="180"/>
        <w:jc w:val="both"/>
        <w:rPr>
          <w:iCs/>
          <w:color w:val="000000" w:themeColor="text1"/>
        </w:rPr>
      </w:pPr>
      <w:r>
        <w:rPr>
          <w:iCs/>
          <w:color w:val="000000" w:themeColor="text1"/>
        </w:rPr>
        <w:t xml:space="preserve">In addition, the requirements for Rel-17 RedCap CG-SDT did not consider PTW scenario either, </w:t>
      </w:r>
      <w:proofErr w:type="gramStart"/>
      <w:r>
        <w:rPr>
          <w:iCs/>
          <w:color w:val="000000" w:themeColor="text1"/>
        </w:rPr>
        <w:t>and</w:t>
      </w:r>
      <w:proofErr w:type="gramEnd"/>
      <w:r>
        <w:rPr>
          <w:iCs/>
          <w:color w:val="000000" w:themeColor="text1"/>
        </w:rPr>
        <w:t xml:space="preserve"> the new CG-SDT requirement shall be specified for Rel-18 eRedCap UE with PTW. </w:t>
      </w:r>
      <w:r w:rsidR="002D1506">
        <w:rPr>
          <w:iCs/>
          <w:color w:val="000000" w:themeColor="text1"/>
        </w:rPr>
        <w:t xml:space="preserve">In our view, some potential issues need to be addressed for CG-SDT with PTW, e.g., whether TA validation shall be contained in single PTW or can be cross PTWs; </w:t>
      </w:r>
      <w:r w:rsidR="00F00240">
        <w:rPr>
          <w:iCs/>
          <w:color w:val="000000" w:themeColor="text1"/>
        </w:rPr>
        <w:t>and</w:t>
      </w:r>
      <w:r w:rsidR="002D1506">
        <w:rPr>
          <w:iCs/>
          <w:color w:val="000000" w:themeColor="text1"/>
        </w:rPr>
        <w:t xml:space="preserve"> whether SDT occasion can be used outside PTW window or not. </w:t>
      </w:r>
    </w:p>
    <w:p w14:paraId="7C138289" w14:textId="4DC0BB86" w:rsidR="00224A30" w:rsidRPr="002D1506" w:rsidRDefault="00224A30" w:rsidP="00893F0E">
      <w:pPr>
        <w:spacing w:after="180"/>
        <w:jc w:val="both"/>
        <w:rPr>
          <w:b/>
          <w:bCs/>
          <w:i/>
          <w:color w:val="000000" w:themeColor="text1"/>
        </w:rPr>
      </w:pPr>
      <w:r w:rsidRPr="002D1506">
        <w:rPr>
          <w:b/>
          <w:bCs/>
          <w:i/>
          <w:color w:val="000000" w:themeColor="text1"/>
        </w:rPr>
        <w:t xml:space="preserve">Proposal 1: </w:t>
      </w:r>
      <w:r w:rsidR="002D1506">
        <w:rPr>
          <w:b/>
          <w:bCs/>
          <w:i/>
          <w:color w:val="000000" w:themeColor="text1"/>
        </w:rPr>
        <w:t xml:space="preserve">after RAN2/CT/SA has conclusions on eDRX cycle and PTW, </w:t>
      </w:r>
      <w:r w:rsidRPr="002D1506">
        <w:rPr>
          <w:b/>
          <w:bCs/>
          <w:i/>
          <w:color w:val="000000" w:themeColor="text1"/>
        </w:rPr>
        <w:t>RAN4 to define the RRM requirements for Rel-18 eRedCap with PTW in RRC_INACTIVE state when the eDRX cycle is greater than 10.24s.</w:t>
      </w:r>
    </w:p>
    <w:p w14:paraId="6933A592" w14:textId="4766923B" w:rsidR="00224A30" w:rsidRDefault="00224A30" w:rsidP="00893F0E">
      <w:pPr>
        <w:spacing w:after="180"/>
        <w:jc w:val="both"/>
        <w:rPr>
          <w:b/>
          <w:bCs/>
          <w:i/>
          <w:color w:val="000000" w:themeColor="text1"/>
        </w:rPr>
      </w:pPr>
      <w:r w:rsidRPr="002D1506">
        <w:rPr>
          <w:b/>
          <w:bCs/>
          <w:i/>
          <w:color w:val="000000" w:themeColor="text1"/>
        </w:rPr>
        <w:t xml:space="preserve">Proposal 2: the Rel-17 RedCap RRM requirement with </w:t>
      </w:r>
      <w:r w:rsidRPr="002D1506">
        <w:rPr>
          <w:rFonts w:hint="eastAsia"/>
          <w:b/>
          <w:bCs/>
          <w:i/>
          <w:color w:val="000000" w:themeColor="text1"/>
        </w:rPr>
        <w:t>PTW</w:t>
      </w:r>
      <w:r w:rsidRPr="002D1506">
        <w:rPr>
          <w:b/>
          <w:bCs/>
          <w:i/>
          <w:color w:val="000000" w:themeColor="text1"/>
        </w:rPr>
        <w:t xml:space="preserve"> in RRC_IDLE state can be used as a </w:t>
      </w:r>
      <w:r w:rsidR="002D1506" w:rsidRPr="002D1506">
        <w:rPr>
          <w:b/>
          <w:bCs/>
          <w:i/>
          <w:color w:val="000000" w:themeColor="text1"/>
        </w:rPr>
        <w:t xml:space="preserve">baseline for the Rel-18 eRedCap RRM requirement with </w:t>
      </w:r>
      <w:r w:rsidR="002D1506" w:rsidRPr="002D1506">
        <w:rPr>
          <w:rFonts w:hint="eastAsia"/>
          <w:b/>
          <w:bCs/>
          <w:i/>
          <w:color w:val="000000" w:themeColor="text1"/>
        </w:rPr>
        <w:t>PTW</w:t>
      </w:r>
      <w:r w:rsidR="002D1506" w:rsidRPr="002D1506">
        <w:rPr>
          <w:b/>
          <w:bCs/>
          <w:i/>
          <w:color w:val="000000" w:themeColor="text1"/>
        </w:rPr>
        <w:t xml:space="preserve"> in RRC_INACTIVE state, except the serving cell measurement requirement with </w:t>
      </w:r>
      <w:r w:rsidR="002D1506" w:rsidRPr="002D1506">
        <w:rPr>
          <w:b/>
          <w:bCs/>
          <w:i/>
        </w:rPr>
        <w:t>T according to clause 7.1 in TS38.304.</w:t>
      </w:r>
      <w:r w:rsidR="002D1506" w:rsidRPr="002D1506">
        <w:rPr>
          <w:b/>
          <w:bCs/>
          <w:i/>
          <w:color w:val="000000" w:themeColor="text1"/>
        </w:rPr>
        <w:t xml:space="preserve"> </w:t>
      </w:r>
    </w:p>
    <w:p w14:paraId="4504C0E4" w14:textId="24527A80" w:rsidR="002D1506" w:rsidRDefault="002D1506" w:rsidP="00893F0E">
      <w:pPr>
        <w:spacing w:after="180"/>
        <w:jc w:val="both"/>
        <w:rPr>
          <w:b/>
          <w:bCs/>
          <w:i/>
          <w:color w:val="000000" w:themeColor="text1"/>
        </w:rPr>
      </w:pPr>
      <w:r>
        <w:rPr>
          <w:b/>
          <w:bCs/>
          <w:i/>
          <w:color w:val="000000" w:themeColor="text1"/>
        </w:rPr>
        <w:t xml:space="preserve">Proposal 3: </w:t>
      </w:r>
      <w:r w:rsidRPr="002D1506">
        <w:rPr>
          <w:b/>
          <w:bCs/>
          <w:i/>
          <w:color w:val="000000" w:themeColor="text1"/>
        </w:rPr>
        <w:t>new CG-SDT requirement shall be specified for Rel-18 eRedCap UE with PTW</w:t>
      </w:r>
      <w:r>
        <w:rPr>
          <w:b/>
          <w:bCs/>
          <w:i/>
          <w:color w:val="000000" w:themeColor="text1"/>
        </w:rPr>
        <w:t>.</w:t>
      </w:r>
      <w:r w:rsidR="00F00240">
        <w:rPr>
          <w:b/>
          <w:bCs/>
          <w:i/>
          <w:color w:val="000000" w:themeColor="text1"/>
        </w:rPr>
        <w:t xml:space="preserve"> Details are FFS.</w:t>
      </w:r>
    </w:p>
    <w:p w14:paraId="5BA94AB8" w14:textId="0A200CDE" w:rsidR="00E06DD6" w:rsidRDefault="00F00240" w:rsidP="00893F0E">
      <w:pPr>
        <w:spacing w:after="180"/>
        <w:jc w:val="both"/>
        <w:rPr>
          <w:iCs/>
          <w:color w:val="000000" w:themeColor="text1"/>
        </w:rPr>
      </w:pPr>
      <w:r>
        <w:rPr>
          <w:iCs/>
          <w:color w:val="000000" w:themeColor="text1"/>
        </w:rPr>
        <w:t>Another aspect of this WI is “</w:t>
      </w:r>
      <w:r w:rsidRPr="00F00240">
        <w:rPr>
          <w:iCs/>
          <w:color w:val="000000" w:themeColor="text1"/>
        </w:rPr>
        <w:t>Complexity/cost reduction</w:t>
      </w:r>
      <w:r>
        <w:rPr>
          <w:iCs/>
          <w:color w:val="000000" w:themeColor="text1"/>
        </w:rPr>
        <w:t xml:space="preserve">” by using </w:t>
      </w:r>
      <w:r w:rsidRPr="00F00240">
        <w:rPr>
          <w:iCs/>
          <w:color w:val="000000" w:themeColor="text1"/>
        </w:rPr>
        <w:t>5 MHz BB bandwidth only for PDSCH (for both unicast and broadcast) and PUSCH</w:t>
      </w:r>
      <w:r>
        <w:rPr>
          <w:iCs/>
          <w:color w:val="000000" w:themeColor="text1"/>
        </w:rPr>
        <w:t xml:space="preserve"> but </w:t>
      </w:r>
      <w:r w:rsidRPr="00F00240">
        <w:rPr>
          <w:iCs/>
          <w:color w:val="000000" w:themeColor="text1"/>
        </w:rPr>
        <w:t>with 20 MHz RF bandwidth for UL and DL</w:t>
      </w:r>
      <w:r>
        <w:rPr>
          <w:iCs/>
          <w:color w:val="000000" w:themeColor="text1"/>
        </w:rPr>
        <w:t xml:space="preserve">. Since other </w:t>
      </w:r>
      <w:proofErr w:type="gramStart"/>
      <w:r>
        <w:rPr>
          <w:iCs/>
          <w:color w:val="000000" w:themeColor="text1"/>
        </w:rPr>
        <w:t>RS(</w:t>
      </w:r>
      <w:proofErr w:type="gramEnd"/>
      <w:r>
        <w:rPr>
          <w:iCs/>
          <w:color w:val="000000" w:themeColor="text1"/>
        </w:rPr>
        <w:t>e.g., SSB or CSI-RS) BW is not reduced for Rel-18 eRedCap UE</w:t>
      </w:r>
      <w:r w:rsidR="00E06DD6">
        <w:rPr>
          <w:iCs/>
          <w:color w:val="000000" w:themeColor="text1"/>
        </w:rPr>
        <w:t>, the Rel-17 RedCap RRM requirement shall still be applicable to the Rel-18 eRedCap UE to support such c</w:t>
      </w:r>
      <w:r w:rsidR="00E06DD6" w:rsidRPr="00E06DD6">
        <w:rPr>
          <w:iCs/>
          <w:color w:val="000000" w:themeColor="text1"/>
        </w:rPr>
        <w:t>omplexity/cost reduction</w:t>
      </w:r>
      <w:r w:rsidR="00E06DD6">
        <w:rPr>
          <w:iCs/>
          <w:color w:val="000000" w:themeColor="text1"/>
        </w:rPr>
        <w:t xml:space="preserve">. </w:t>
      </w:r>
      <w:r w:rsidR="00A31AAB">
        <w:rPr>
          <w:iCs/>
          <w:color w:val="000000" w:themeColor="text1"/>
        </w:rPr>
        <w:t>It was also stated in WID that: b</w:t>
      </w:r>
      <w:r w:rsidR="00A31AAB" w:rsidRPr="00A31AAB">
        <w:rPr>
          <w:iCs/>
          <w:color w:val="000000" w:themeColor="text1"/>
        </w:rPr>
        <w:t>y default, all UE capabilities applicable to a Rel-17 RedCap UE are applicable unless otherwise specified</w:t>
      </w:r>
      <w:r w:rsidR="00A31AAB">
        <w:rPr>
          <w:iCs/>
          <w:color w:val="000000" w:themeColor="text1"/>
        </w:rPr>
        <w:t>.</w:t>
      </w:r>
      <w:r w:rsidR="00A31AAB" w:rsidRPr="00A31AAB">
        <w:rPr>
          <w:iCs/>
          <w:color w:val="000000" w:themeColor="text1"/>
        </w:rPr>
        <w:t xml:space="preserve"> </w:t>
      </w:r>
      <w:r w:rsidR="00A31AAB">
        <w:rPr>
          <w:iCs/>
          <w:color w:val="000000" w:themeColor="text1"/>
        </w:rPr>
        <w:t>Thus, i</w:t>
      </w:r>
      <w:r w:rsidR="00E06DD6">
        <w:rPr>
          <w:iCs/>
          <w:color w:val="000000" w:themeColor="text1"/>
        </w:rPr>
        <w:t>n short, no new RRM requirement is needed for Rel-18 eRedCap UE when</w:t>
      </w:r>
      <w:r w:rsidR="00E06DD6" w:rsidRPr="00E06DD6">
        <w:rPr>
          <w:iCs/>
          <w:color w:val="000000" w:themeColor="text1"/>
        </w:rPr>
        <w:t xml:space="preserve"> </w:t>
      </w:r>
      <w:r w:rsidR="00E06DD6">
        <w:rPr>
          <w:iCs/>
          <w:color w:val="000000" w:themeColor="text1"/>
        </w:rPr>
        <w:t xml:space="preserve">using </w:t>
      </w:r>
      <w:r w:rsidR="00E06DD6" w:rsidRPr="00F00240">
        <w:rPr>
          <w:iCs/>
          <w:color w:val="000000" w:themeColor="text1"/>
        </w:rPr>
        <w:t>5 MHz BB bandwidth only for PDSCH (for both unicast and broadcast) and PUSCH</w:t>
      </w:r>
      <w:r w:rsidR="00E06DD6">
        <w:rPr>
          <w:iCs/>
          <w:color w:val="000000" w:themeColor="text1"/>
        </w:rPr>
        <w:t xml:space="preserve"> but keeping</w:t>
      </w:r>
      <w:r w:rsidR="00E06DD6" w:rsidRPr="00F00240">
        <w:rPr>
          <w:iCs/>
          <w:color w:val="000000" w:themeColor="text1"/>
        </w:rPr>
        <w:t xml:space="preserve"> 20 MHz RF bandwidth for UL and DL</w:t>
      </w:r>
      <w:r w:rsidR="00E06DD6">
        <w:rPr>
          <w:iCs/>
          <w:color w:val="000000" w:themeColor="text1"/>
        </w:rPr>
        <w:t>.</w:t>
      </w:r>
    </w:p>
    <w:p w14:paraId="0B324C68" w14:textId="75C5BDCF" w:rsidR="00F00240" w:rsidRPr="00E06DD6" w:rsidRDefault="00E06DD6" w:rsidP="00893F0E">
      <w:pPr>
        <w:spacing w:after="180"/>
        <w:jc w:val="both"/>
        <w:rPr>
          <w:b/>
          <w:bCs/>
          <w:i/>
          <w:color w:val="000000" w:themeColor="text1"/>
        </w:rPr>
      </w:pPr>
      <w:r w:rsidRPr="00E06DD6">
        <w:rPr>
          <w:b/>
          <w:bCs/>
          <w:i/>
          <w:color w:val="000000" w:themeColor="text1"/>
        </w:rPr>
        <w:t>Proposal 4: no additional RRM requirement than Rel-17 RedCap requirement is needed for Rel-18 eRedCap UE to support “using 5 MHz BB bandwidth only for PDSCH (for both unicast and broadcast) and PUSCH but keeping 20 MHz RF bandwidth for UL and DL”.</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lastRenderedPageBreak/>
        <w:t>Conclusion</w:t>
      </w:r>
    </w:p>
    <w:p w14:paraId="69C2D6C1" w14:textId="5FD24EC9" w:rsidR="00E06DD6" w:rsidRPr="00E06DD6" w:rsidRDefault="00E06DD6" w:rsidP="00E06DD6">
      <w:pPr>
        <w:spacing w:after="180"/>
        <w:jc w:val="both"/>
        <w:rPr>
          <w:iCs/>
          <w:color w:val="000000" w:themeColor="text1"/>
        </w:rPr>
      </w:pPr>
      <w:r w:rsidRPr="00E06DD6">
        <w:rPr>
          <w:iCs/>
          <w:color w:val="000000" w:themeColor="text1"/>
        </w:rPr>
        <w:t>In this contribution we discuss the impact on RRM for the eRedCap UE.</w:t>
      </w:r>
    </w:p>
    <w:p w14:paraId="5A369F81" w14:textId="77777777" w:rsidR="00E06DD6" w:rsidRPr="002D1506" w:rsidRDefault="00E06DD6" w:rsidP="00E06DD6">
      <w:pPr>
        <w:spacing w:after="180"/>
        <w:jc w:val="both"/>
        <w:rPr>
          <w:b/>
          <w:bCs/>
          <w:i/>
          <w:color w:val="000000" w:themeColor="text1"/>
        </w:rPr>
      </w:pPr>
      <w:r w:rsidRPr="002D1506">
        <w:rPr>
          <w:b/>
          <w:bCs/>
          <w:i/>
          <w:color w:val="000000" w:themeColor="text1"/>
        </w:rPr>
        <w:t xml:space="preserve">Proposal 1: </w:t>
      </w:r>
      <w:r>
        <w:rPr>
          <w:b/>
          <w:bCs/>
          <w:i/>
          <w:color w:val="000000" w:themeColor="text1"/>
        </w:rPr>
        <w:t xml:space="preserve">after RAN2/CT/SA has conclusions on eDRX cycle and PTW, </w:t>
      </w:r>
      <w:r w:rsidRPr="002D1506">
        <w:rPr>
          <w:b/>
          <w:bCs/>
          <w:i/>
          <w:color w:val="000000" w:themeColor="text1"/>
        </w:rPr>
        <w:t>RAN4 to define the RRM requirements for Rel-18 eRedCap with PTW in RRC_INACTIVE state when the eDRX cycle is greater than 10.24s.</w:t>
      </w:r>
    </w:p>
    <w:p w14:paraId="7C920029" w14:textId="77777777" w:rsidR="00E06DD6" w:rsidRDefault="00E06DD6" w:rsidP="00E06DD6">
      <w:pPr>
        <w:spacing w:after="180"/>
        <w:jc w:val="both"/>
        <w:rPr>
          <w:b/>
          <w:bCs/>
          <w:i/>
          <w:color w:val="000000" w:themeColor="text1"/>
        </w:rPr>
      </w:pPr>
      <w:r w:rsidRPr="002D1506">
        <w:rPr>
          <w:b/>
          <w:bCs/>
          <w:i/>
          <w:color w:val="000000" w:themeColor="text1"/>
        </w:rPr>
        <w:t xml:space="preserve">Proposal 2: the Rel-17 RedCap RRM requirement with </w:t>
      </w:r>
      <w:r w:rsidRPr="002D1506">
        <w:rPr>
          <w:rFonts w:hint="eastAsia"/>
          <w:b/>
          <w:bCs/>
          <w:i/>
          <w:color w:val="000000" w:themeColor="text1"/>
        </w:rPr>
        <w:t>PTW</w:t>
      </w:r>
      <w:r w:rsidRPr="002D1506">
        <w:rPr>
          <w:b/>
          <w:bCs/>
          <w:i/>
          <w:color w:val="000000" w:themeColor="text1"/>
        </w:rPr>
        <w:t xml:space="preserve"> in RRC_IDLE state can be used as a baseline for the Rel-18 eRedCap RRM requirement with </w:t>
      </w:r>
      <w:r w:rsidRPr="002D1506">
        <w:rPr>
          <w:rFonts w:hint="eastAsia"/>
          <w:b/>
          <w:bCs/>
          <w:i/>
          <w:color w:val="000000" w:themeColor="text1"/>
        </w:rPr>
        <w:t>PTW</w:t>
      </w:r>
      <w:r w:rsidRPr="002D1506">
        <w:rPr>
          <w:b/>
          <w:bCs/>
          <w:i/>
          <w:color w:val="000000" w:themeColor="text1"/>
        </w:rPr>
        <w:t xml:space="preserve"> in RRC_INACTIVE state, except the serving cell measurement requirement with </w:t>
      </w:r>
      <w:r w:rsidRPr="002D1506">
        <w:rPr>
          <w:b/>
          <w:bCs/>
          <w:i/>
        </w:rPr>
        <w:t>T according to clause 7.1 in TS38.304.</w:t>
      </w:r>
      <w:r w:rsidRPr="002D1506">
        <w:rPr>
          <w:b/>
          <w:bCs/>
          <w:i/>
          <w:color w:val="000000" w:themeColor="text1"/>
        </w:rPr>
        <w:t xml:space="preserve"> </w:t>
      </w:r>
    </w:p>
    <w:p w14:paraId="081D1F1B" w14:textId="5CB59417" w:rsidR="00E06DD6" w:rsidRDefault="00E06DD6" w:rsidP="00E06DD6">
      <w:pPr>
        <w:spacing w:after="180"/>
        <w:jc w:val="both"/>
        <w:rPr>
          <w:b/>
          <w:bCs/>
          <w:i/>
          <w:color w:val="000000" w:themeColor="text1"/>
        </w:rPr>
      </w:pPr>
      <w:r>
        <w:rPr>
          <w:b/>
          <w:bCs/>
          <w:i/>
          <w:color w:val="000000" w:themeColor="text1"/>
        </w:rPr>
        <w:t xml:space="preserve">Proposal 3: </w:t>
      </w:r>
      <w:r w:rsidRPr="002D1506">
        <w:rPr>
          <w:b/>
          <w:bCs/>
          <w:i/>
          <w:color w:val="000000" w:themeColor="text1"/>
        </w:rPr>
        <w:t>new CG-SDT requirement shall be specified for Rel-18 eRedCap UE with PTW</w:t>
      </w:r>
      <w:r>
        <w:rPr>
          <w:b/>
          <w:bCs/>
          <w:i/>
          <w:color w:val="000000" w:themeColor="text1"/>
        </w:rPr>
        <w:t>. Details are FFS.</w:t>
      </w:r>
    </w:p>
    <w:p w14:paraId="3CFF184A" w14:textId="61377279" w:rsidR="00E06DD6" w:rsidRDefault="00E06DD6" w:rsidP="00E06DD6">
      <w:pPr>
        <w:spacing w:after="180"/>
        <w:jc w:val="both"/>
        <w:rPr>
          <w:b/>
          <w:bCs/>
          <w:i/>
          <w:color w:val="000000" w:themeColor="text1"/>
        </w:rPr>
      </w:pPr>
      <w:r w:rsidRPr="00E06DD6">
        <w:rPr>
          <w:b/>
          <w:bCs/>
          <w:i/>
          <w:color w:val="000000" w:themeColor="text1"/>
        </w:rPr>
        <w:t>Proposal 4: no additional RRM requirement than Rel-17 RedCap requirement is needed for Rel-18 eRedCap UE to support “using 5 MHz BB bandwidth only for PDSCH (for both unicast and broadcast) and PUSCH but keeping 20 MHz RF bandwidth for UL and DL”.</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724B26D9" w:rsidR="006F5597" w:rsidRPr="003302A0" w:rsidRDefault="00A74337" w:rsidP="0012561B">
      <w:pPr>
        <w:jc w:val="both"/>
      </w:pPr>
      <w:r>
        <w:t xml:space="preserve">[1] </w:t>
      </w:r>
      <w:r w:rsidR="0012561B" w:rsidRPr="0012561B">
        <w:rPr>
          <w:rFonts w:cs="Arial"/>
        </w:rPr>
        <w:t>RP-223544</w:t>
      </w:r>
      <w:r w:rsidR="006F5597" w:rsidRPr="003302A0">
        <w:t xml:space="preserve">, </w:t>
      </w:r>
      <w:r w:rsidR="0012561B" w:rsidRPr="0012561B">
        <w:t>Revised WID on Enhanced support of reduced capability NR devices</w:t>
      </w:r>
      <w:r w:rsidR="006F5597" w:rsidRPr="003302A0">
        <w:t xml:space="preserve">, </w:t>
      </w:r>
      <w:r w:rsidR="0012561B">
        <w:t>Ericsson</w:t>
      </w:r>
      <w:r w:rsidR="006F5597" w:rsidRPr="003302A0">
        <w:t>, RAN</w:t>
      </w:r>
      <w:r w:rsidR="006F5597">
        <w:t xml:space="preserve"> #</w:t>
      </w:r>
      <w:r w:rsidR="0012561B">
        <w:t>98-e</w:t>
      </w:r>
    </w:p>
    <w:p w14:paraId="0C91915A" w14:textId="337019FF" w:rsidR="00110BFA" w:rsidRPr="005A1E0E" w:rsidRDefault="00110BFA" w:rsidP="00A74337"/>
    <w:sectPr w:rsidR="00110BFA"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8136" w14:textId="77777777" w:rsidR="00EB3D6D" w:rsidRDefault="00EB3D6D">
      <w:r>
        <w:separator/>
      </w:r>
    </w:p>
  </w:endnote>
  <w:endnote w:type="continuationSeparator" w:id="0">
    <w:p w14:paraId="4109F832" w14:textId="77777777" w:rsidR="00EB3D6D" w:rsidRDefault="00EB3D6D">
      <w:r>
        <w:continuationSeparator/>
      </w:r>
    </w:p>
  </w:endnote>
  <w:endnote w:type="continuationNotice" w:id="1">
    <w:p w14:paraId="69673F50" w14:textId="77777777" w:rsidR="00EB3D6D" w:rsidRDefault="00EB3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2B806" w14:textId="77777777" w:rsidR="00EB3D6D" w:rsidRDefault="00EB3D6D">
      <w:r>
        <w:separator/>
      </w:r>
    </w:p>
  </w:footnote>
  <w:footnote w:type="continuationSeparator" w:id="0">
    <w:p w14:paraId="35E26A14" w14:textId="77777777" w:rsidR="00EB3D6D" w:rsidRDefault="00EB3D6D">
      <w:r>
        <w:continuationSeparator/>
      </w:r>
    </w:p>
  </w:footnote>
  <w:footnote w:type="continuationNotice" w:id="1">
    <w:p w14:paraId="57662899" w14:textId="77777777" w:rsidR="00EB3D6D" w:rsidRDefault="00EB3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3"/>
  </w:num>
  <w:num w:numId="5" w16cid:durableId="1994917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7"/>
  </w:num>
  <w:num w:numId="8" w16cid:durableId="66853061">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8"/>
  </w:num>
  <w:num w:numId="12" w16cid:durableId="1683971953">
    <w:abstractNumId w:val="19"/>
  </w:num>
  <w:num w:numId="13" w16cid:durableId="1802336773">
    <w:abstractNumId w:val="29"/>
  </w:num>
  <w:num w:numId="14" w16cid:durableId="183179212">
    <w:abstractNumId w:val="6"/>
  </w:num>
  <w:num w:numId="15" w16cid:durableId="101072845">
    <w:abstractNumId w:val="1"/>
  </w:num>
  <w:num w:numId="16" w16cid:durableId="1671985423">
    <w:abstractNumId w:val="34"/>
  </w:num>
  <w:num w:numId="17" w16cid:durableId="527718403">
    <w:abstractNumId w:val="5"/>
  </w:num>
  <w:num w:numId="18" w16cid:durableId="336426665">
    <w:abstractNumId w:val="23"/>
  </w:num>
  <w:num w:numId="19" w16cid:durableId="314071016">
    <w:abstractNumId w:val="2"/>
  </w:num>
  <w:num w:numId="20" w16cid:durableId="254241833">
    <w:abstractNumId w:val="7"/>
  </w:num>
  <w:num w:numId="21" w16cid:durableId="2056931042">
    <w:abstractNumId w:val="18"/>
  </w:num>
  <w:num w:numId="22" w16cid:durableId="277881800">
    <w:abstractNumId w:val="21"/>
  </w:num>
  <w:num w:numId="23" w16cid:durableId="2121104171">
    <w:abstractNumId w:val="13"/>
  </w:num>
  <w:num w:numId="24" w16cid:durableId="1956054883">
    <w:abstractNumId w:val="8"/>
  </w:num>
  <w:num w:numId="25" w16cid:durableId="1143275559">
    <w:abstractNumId w:val="14"/>
  </w:num>
  <w:num w:numId="26" w16cid:durableId="337998213">
    <w:abstractNumId w:val="15"/>
  </w:num>
  <w:num w:numId="27" w16cid:durableId="753867088">
    <w:abstractNumId w:val="11"/>
  </w:num>
  <w:num w:numId="28" w16cid:durableId="1388605013">
    <w:abstractNumId w:val="9"/>
  </w:num>
  <w:num w:numId="29" w16cid:durableId="1194684424">
    <w:abstractNumId w:val="16"/>
  </w:num>
  <w:num w:numId="30" w16cid:durableId="195780968">
    <w:abstractNumId w:val="24"/>
  </w:num>
  <w:num w:numId="31" w16cid:durableId="43145658">
    <w:abstractNumId w:val="20"/>
  </w:num>
  <w:num w:numId="32" w16cid:durableId="840119956">
    <w:abstractNumId w:val="32"/>
  </w:num>
  <w:num w:numId="33" w16cid:durableId="788086887">
    <w:abstractNumId w:val="27"/>
  </w:num>
  <w:num w:numId="34" w16cid:durableId="1075589885">
    <w:abstractNumId w:val="12"/>
  </w:num>
  <w:num w:numId="35" w16cid:durableId="1071587299">
    <w:abstractNumId w:val="30"/>
  </w:num>
  <w:num w:numId="36" w16cid:durableId="1091851232">
    <w:abstractNumId w:val="25"/>
  </w:num>
  <w:num w:numId="37" w16cid:durableId="1931697551">
    <w:abstractNumId w:val="10"/>
  </w:num>
  <w:num w:numId="38" w16cid:durableId="1849905691">
    <w:abstractNumId w:val="22"/>
  </w:num>
  <w:num w:numId="39" w16cid:durableId="276916249">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2817"/>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6D"/>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900</Words>
  <Characters>5135</Characters>
  <Application>Microsoft Office Word</Application>
  <DocSecurity>0</DocSecurity>
  <Lines>42</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2023-02-07T19:22:00Z</dcterms:created>
  <dcterms:modified xsi:type="dcterms:W3CDTF">2023-02-17T19:53:00Z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